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eastAsia="zh-CN"/>
        </w:rPr>
        <w:t>洛阳高新技术产业开发区文化旅游教育体育局</w:t>
      </w:r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  <w:t>2020年度资产处置情况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本单位，洛阳高新技术产业开发区文化旅游教育体育局，2020年资产处置情况如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资产名称为惠普激光打印机，数量1台，资产账面原价1260元，资产累计折旧1260元，资产账面净值0元，已使用8年，因损坏无法正常使用，故按照《洛阳高新区本级行政事业单位国有资产处置管理办法》文件规定已进行报废处置，处置收益5元，已及时足额上缴财政管理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2020年，本单位下属机构中有8所学校存在资产处置情况，资产处置金额共3323620.64元，具体明细见附件1。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附件1 《2020年度下属机构资产处置情况》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345F8"/>
    <w:rsid w:val="11834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2021-04-19T06:57:00Z</dcterms:created>
  <dc:creator>如月清宁</dc:creator>
  <cp:lastModifiedBy>如月清宁</cp:lastModifiedBy>
  <dcterms:modified xsi:type="dcterms:W3CDTF">2021-04-19T08:28:00Z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0A2A72E1A7E54168958572C34FD51234</vt:lpwstr>
  </property>
</Properties>
</file>